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2E" w:rsidRPr="00DC502E" w:rsidRDefault="00DC502E" w:rsidP="00DC502E">
      <w:pPr>
        <w:shd w:val="clear" w:color="auto" w:fill="FFFFFF"/>
        <w:spacing w:before="375" w:after="0" w:line="540" w:lineRule="atLeast"/>
        <w:outlineLvl w:val="0"/>
        <w:rPr>
          <w:rFonts w:ascii="News Cycle" w:eastAsia="Times New Roman" w:hAnsi="News Cycle" w:cs="Times New Roman"/>
          <w:color w:val="497C95"/>
          <w:kern w:val="36"/>
          <w:sz w:val="54"/>
          <w:szCs w:val="54"/>
          <w:lang w:eastAsia="ru-RU"/>
        </w:rPr>
      </w:pPr>
      <w:r w:rsidRPr="00DC502E">
        <w:rPr>
          <w:rFonts w:ascii="News Cycle" w:eastAsia="Times New Roman" w:hAnsi="News Cycle" w:cs="Times New Roman"/>
          <w:color w:val="497C95"/>
          <w:kern w:val="36"/>
          <w:sz w:val="54"/>
          <w:szCs w:val="54"/>
          <w:lang w:eastAsia="ru-RU"/>
        </w:rPr>
        <w:t>ПОЛОЖЕННЯ про міський зональний екологічний конкурс-гру “Думай глобально. Дій локально” (чвертьфінал, 2020 рік )</w:t>
      </w:r>
    </w:p>
    <w:p w:rsidR="00DC502E" w:rsidRPr="00DC502E" w:rsidRDefault="00DC502E" w:rsidP="00DC502E">
      <w:pPr>
        <w:shd w:val="clear" w:color="auto" w:fill="FFFFFF"/>
        <w:spacing w:before="75" w:after="225" w:line="270" w:lineRule="atLeast"/>
        <w:rPr>
          <w:rFonts w:ascii="Roboto" w:eastAsia="Times New Roman" w:hAnsi="Roboto" w:cs="Times New Roman"/>
          <w:color w:val="5C626B"/>
          <w:sz w:val="18"/>
          <w:szCs w:val="18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18"/>
          <w:szCs w:val="18"/>
          <w:lang w:eastAsia="ru-RU"/>
        </w:rPr>
        <w:t>Опубліковано у </w:t>
      </w:r>
      <w:hyperlink r:id="rId5" w:history="1">
        <w:r w:rsidRPr="00DC502E">
          <w:rPr>
            <w:rFonts w:ascii="Roboto" w:eastAsia="Times New Roman" w:hAnsi="Roboto" w:cs="Times New Roman"/>
            <w:color w:val="52B8DF"/>
            <w:sz w:val="18"/>
            <w:szCs w:val="18"/>
            <w:lang w:eastAsia="ru-RU"/>
          </w:rPr>
          <w:t>Міський учнівський парламент</w:t>
        </w:r>
      </w:hyperlink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1. Загальні положення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1.1. Зонально екологічна конкурс-гра "Думай глобально, дій локально" (далі – Конкурс) проводиться серед школярів, учнів 7-10 класів на добровільних засадах.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1.2. Засновником Конкурсу є комісія з питань екології та здорового способу життя Міського учнівського парламенту при  Управлінні освіти Херсонської міської ради.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1.3. Організацію та проведення конкурсу здійснює комісія з питань екології та здорового способу життя Міського учнівського парламенту  за підтримки управління освіти Херсонської міської ради та Центру дитячої та юнацької творчості.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 Для організації та проведення Конкурсу створюється організаційний комітет.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1.4.1. До складу організаційного комітету входять представники Міського учнівського парламенту, члени комісії з питань екології.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1.4.2. Організаційний комітет уповноважений ухвалювати рішення з усіх питань, що виникають у зв’язку з проведенням Конкурсу.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1.4.3. Здійснює організаційну роботу щодо проведення Конкурсу.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1.4.4. Оформляє документацію щодо проведення Конкурсу та підсумування.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1.4.5. Забезпечує порядок проведення Конкурсу.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1.4.6.Залучає до оцінки конкурсних етапів незалежне журі.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1.4.7.Сприяє висвітленню результатів Конкурсу в засобах масової інформації.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1.4.8. Організовує поширення кращих надбань Конкурсу через засоби масової інформації та на сайті управління освіти.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1.4.9. Готує статтю про перебіг та результати конкурсу з фотографіями  визначених переможців та надсилає для розміщення на сайті управління освіти.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2. Мета: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2.1 Формування екологічної культури та поважного ставлення до природи та природних ресурсів у учнівської молоді.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2.2 Пропаганда і поширення дитячого екологічного руху.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2.3 Привернення уваги молоді до екологічних проблем сьогодення.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2.4 Формування моральних взаємовідносин людини і навколишньої середи.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2.5 Формування здорового способу життя в учасників конкурсу, як складової екологічної культури.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3. Завдання конкурсу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3.1. Долучити шкільні органи дитячого самоврядування та членів шкільних екологічних клубів і гуртків до активної діяльності щодо збереження ресурсів та природи.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3.2. Формувати в учнів навички екологічної культури та екологічної свідомості.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3.3. Удосконалювати роботу екологічних клубів та стимулювати учнівську молодь щодо поширення екологічного руху та екологічних компетентностей серед однолітків.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4.Учасники конкурсу :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4.1.У чвертьфіналі зонального екологічного конкурсу-гри приймають участь учні 7-10 класів шкіл м. Херсона.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4.2. До складу команди НЕ мають входити учні 11 класів.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4.3 До складу команди або до організації її роботи ДОЛУЧАЮТЬСЯ члени комісії з питань екології та екологічного клубу «Дивосвіт».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5. Терміни проведення Конкурсу та місце проведення.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5.1. Чвертьфінал зонального Конкурсу проводиться заочно.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5.1.1.</w:t>
      </w: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 Заявки, разом із роботами 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надаються на електронну адресу куратора комісії Гусєвої Л.А.</w:t>
      </w: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 з 17 січня 2019 року до 14 лютого 2020 р.: </w:t>
      </w:r>
      <w:hyperlink r:id="rId6" w:history="1">
        <w:r w:rsidRPr="00DC502E">
          <w:rPr>
            <w:rFonts w:ascii="Roboto" w:eastAsia="Times New Roman" w:hAnsi="Roboto" w:cs="Times New Roman"/>
            <w:b/>
            <w:bCs/>
            <w:color w:val="52B8DF"/>
            <w:sz w:val="21"/>
            <w:szCs w:val="21"/>
            <w:lang w:eastAsia="ru-RU"/>
          </w:rPr>
          <w:t>osvita_kherson@ukr.net</w:t>
        </w:r>
      </w:hyperlink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5.1.2. Он-лайн голосування триватиме </w:t>
      </w: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з 15 лютого до 29 лютого.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lastRenderedPageBreak/>
        <w:t>. 5.2. Про графік проведення півфіналу та фіналу конкурсу буде повідомлено додатково (після обробки усіх заявок). Змагання у напівфіналі розпочнеться у березні 2019 року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5.2.1 Заявка має довільну форму, але обов’язково в ній в</w:t>
      </w: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казується повна назва закладу загальної середньої освіти, склад команди (прізвище, ім’я учнів, клас), керівник команди (повне ПІБ, посада та телефон).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6.Умови проведення Конкурсу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6.1. Участь у конкурсі приймають команди закладів загальної середньої освіти. До складу команди входять 6 учнів (7-10 клас).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6.2. Кожна команда повинна мати свою символіку (форма, емблема, девіз).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6.3.Чвертьфінал зонального Конкурсу складається лише з одного етапу(виготовлення відеоролика про досвід роботи з питань екології в своєму закладі освіти).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6.3.1. Відеоролик </w:t>
      </w: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«Візитка-привітання команд».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 Під час чверть фіналу команда знімає відеоролик, у якому презентує себе, оголошує свою назву і девіз, демонструє екологічне спрямування своєї роботи та екологічного клубу (комісії), розкриває особливості досвіду роботи свого закладу освіти, роль шкільного дитячого врядування у цій роботі тощо. Форма відеоролика візитки-привітання залишається довільною. Регламент – до 5 хвилин.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6.4. Команди-учасниці зобов’язані не допускати під час гри некоректну поведінку по відношенню до суперників і глядачів.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6.5. Оцінювання відеороликів відбувається у два етапи. І етап оцінювання здійснюється членами журі. ІІ етап оцінювання відбудеться голосуванням в он-лайн режимі на сайті управління освіти. До загальної суми визначених членами журі додаються бали отримані при он-лайн голосуванні (від 20 балів при найбільшій кількості набраних голосів).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7. Критерії оцінювання: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7.1.  </w:t>
      </w: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«Візитки-привітання команд» 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оцінюється за такими критеріями: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Wingdings" w:eastAsia="Times New Roman" w:hAnsi="Wingdings" w:cs="Times New Roman"/>
          <w:color w:val="5C626B"/>
          <w:sz w:val="21"/>
          <w:szCs w:val="21"/>
          <w:lang w:eastAsia="ru-RU"/>
        </w:rPr>
        <w:t></w:t>
      </w:r>
      <w:r w:rsidRPr="00DC502E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наявність єдиної форми у команди, емблеми та девізу – до 10 балів;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Wingdings" w:eastAsia="Times New Roman" w:hAnsi="Wingdings" w:cs="Times New Roman"/>
          <w:color w:val="5C626B"/>
          <w:sz w:val="21"/>
          <w:szCs w:val="21"/>
          <w:lang w:eastAsia="ru-RU"/>
        </w:rPr>
        <w:t></w:t>
      </w:r>
      <w:r w:rsidRPr="00DC502E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оригінальність та креативність візитки – до 20 балів;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Wingdings" w:eastAsia="Times New Roman" w:hAnsi="Wingdings" w:cs="Times New Roman"/>
          <w:color w:val="5C626B"/>
          <w:sz w:val="21"/>
          <w:szCs w:val="21"/>
          <w:lang w:eastAsia="ru-RU"/>
        </w:rPr>
        <w:t></w:t>
      </w:r>
      <w:r w:rsidRPr="00DC502E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відповідність візитки команди тематиці Конкурсу– до 20 балів.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Wingdings" w:eastAsia="Times New Roman" w:hAnsi="Wingdings" w:cs="Times New Roman"/>
          <w:color w:val="5C626B"/>
          <w:sz w:val="21"/>
          <w:szCs w:val="21"/>
          <w:lang w:eastAsia="ru-RU"/>
        </w:rPr>
        <w:t></w:t>
      </w:r>
      <w:r w:rsidRPr="00DC502E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наявність ідеї, її реалізація, відповідність тематики - до 20 балів;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Wingdings" w:eastAsia="Times New Roman" w:hAnsi="Wingdings" w:cs="Times New Roman"/>
          <w:color w:val="5C626B"/>
          <w:sz w:val="21"/>
          <w:szCs w:val="21"/>
          <w:lang w:eastAsia="ru-RU"/>
        </w:rPr>
        <w:t></w:t>
      </w:r>
      <w:r w:rsidRPr="00DC502E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змістовне висвітлення роботи шкільного екологічного клубу – 20 балів  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Wingdings" w:eastAsia="Times New Roman" w:hAnsi="Wingdings" w:cs="Times New Roman"/>
          <w:color w:val="5C626B"/>
          <w:sz w:val="21"/>
          <w:szCs w:val="21"/>
          <w:lang w:eastAsia="ru-RU"/>
        </w:rPr>
        <w:t></w:t>
      </w:r>
      <w:r w:rsidRPr="00DC502E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Он-лайн голосування - до 20 балів 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Максимальна кількість балів - 110.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7.2. Журі приймає відеоролики до 14 лютого.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7.3. З 15 лютого відкривається он-лайн голосування. За відеоролик , який набрав найбільшу кількість голосів відвідувачів сайту виставляється 20 балів, наступний 19 і т.д 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8. Журі: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8.1 Склад журі формується з представників Херсонського Центру дитячої та юнацької творчості, членів комісії Міського учнівського парламенту (з навчальних закладів, які не приймають участь у конкурсі в цей день), запрошених експертів та представників громадських організацій. Для кожного етапу формується окремо склад журі (не менше трьох осіб для кожного етапу).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8.2 Окремо за кожною грою закріпляються по 3 члени Міського учнівського парламенту, які виконують функції реєстраторів, секретаря та лічильної комісії.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8.3 До складу журі НЕ мають права входить представники навчальних закладів, які змагаються.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8.4.Кожен член журі самостійно оцінює візитку, відповідно до критерії оцінювання і заповнює власний протокол.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8.4.1.Фіксує штрафні бали за порушення правил уболівальниками та гравцями.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8.4.2. Журі оцінює кожну позицію умов конкурсу. Невиконання або неналежне виконання умов веде до відрахування балів із загальної суми за підсумками конкурсу.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8. 5.Рішення журі Конкурсу є остаточним, не підлягає оскарженню.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8.6. Секретарі та лічильна комісія заповнюють загальний протокол кожного етапу і вираховують середній бал (сума усіх балів виставлених кожним членом журі поділена на кількість членів журі).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9. Визначення переможців та нагородження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9.1. Переможці визначаються середньою сумою балів, виставленою усіма членами журі з урахуванням результатів он-лайн голосування.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9.2. Підсумку конкурсу підводяться за результатами кожного з його етапів. По завершенню усіх етапів визначаються переможці конкурсу, команди, які набрали відповідно найбільшу кількість).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9.3. За результатами конкурсу визначається, </w:t>
      </w: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t>в кожному районі</w:t>
      </w: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, одне перше місце, одне друге місце, одне третє місце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9.4. Переможці нагороджуються дипломами управління освіти.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9.5. Команди, які займають 1, 2 та 3 місця (в кожному районі) будуть запрошені до участі у очному півфіналі що відбудеться у лютому-березні 2019 року.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b/>
          <w:bCs/>
          <w:color w:val="5C626B"/>
          <w:sz w:val="21"/>
          <w:szCs w:val="21"/>
          <w:lang w:eastAsia="ru-RU"/>
        </w:rPr>
        <w:lastRenderedPageBreak/>
        <w:t> 10. Оголошення результатів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10.1. Результати чвертьфіналу Конкурсу, визначені членами журі, будуть оголошені 15 лютого, а загальні результати після он-лайн голосування.</w:t>
      </w:r>
    </w:p>
    <w:p w:rsidR="00DC502E" w:rsidRPr="00DC502E" w:rsidRDefault="00DC502E" w:rsidP="00DC502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</w:pPr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10.2. Результати конкурсу будуть розміщено на сайті управління освіти та офіційному сайті комісії з питань екології (</w:t>
      </w:r>
      <w:hyperlink r:id="rId7" w:history="1">
        <w:r w:rsidRPr="00DC502E">
          <w:rPr>
            <w:rFonts w:ascii="Roboto" w:eastAsia="Times New Roman" w:hAnsi="Roboto" w:cs="Times New Roman"/>
            <w:color w:val="52B8DF"/>
            <w:sz w:val="21"/>
            <w:szCs w:val="21"/>
            <w:shd w:val="clear" w:color="auto" w:fill="FFFFFF"/>
            <w:lang w:eastAsia="ru-RU"/>
          </w:rPr>
          <w:t>https://ecologykherson.wixsite.com/2017</w:t>
        </w:r>
      </w:hyperlink>
      <w:r w:rsidRPr="00DC502E">
        <w:rPr>
          <w:rFonts w:ascii="Roboto" w:eastAsia="Times New Roman" w:hAnsi="Roboto" w:cs="Times New Roman"/>
          <w:color w:val="5C626B"/>
          <w:sz w:val="21"/>
          <w:szCs w:val="21"/>
          <w:lang w:eastAsia="ru-RU"/>
        </w:rPr>
        <w:t>у розділі «Увага! Результат!»)</w:t>
      </w:r>
    </w:p>
    <w:p w:rsidR="00F74301" w:rsidRDefault="00F74301">
      <w:bookmarkStart w:id="0" w:name="_GoBack"/>
      <w:bookmarkEnd w:id="0"/>
    </w:p>
    <w:sectPr w:rsidR="00F7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s Cycle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2E"/>
    <w:rsid w:val="00DC502E"/>
    <w:rsid w:val="00F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DC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50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5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DC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50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5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313">
          <w:marLeft w:val="0"/>
          <w:marRight w:val="0"/>
          <w:marTop w:val="300"/>
          <w:marBottom w:val="0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logykherson.wixsite.com/2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vita_kherson@ukr.net" TargetMode="External"/><Relationship Id="rId5" Type="http://schemas.openxmlformats.org/officeDocument/2006/relationships/hyperlink" Target="https://gorono.ftl.kherson.ua/index.php?option=com_content&amp;view=category&amp;id=24&amp;Itemid=5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</dc:creator>
  <cp:lastModifiedBy>Элит</cp:lastModifiedBy>
  <cp:revision>1</cp:revision>
  <dcterms:created xsi:type="dcterms:W3CDTF">2020-05-06T09:28:00Z</dcterms:created>
  <dcterms:modified xsi:type="dcterms:W3CDTF">2020-05-06T09:29:00Z</dcterms:modified>
</cp:coreProperties>
</file>